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2A9DD" w14:textId="7DC26D58" w:rsidR="006841E6" w:rsidRDefault="00D75609" w:rsidP="00CB2D34">
      <w:pPr>
        <w:spacing w:before="60" w:after="0" w:line="240" w:lineRule="auto"/>
        <w:ind w:left="-630" w:firstLine="180"/>
        <w:jc w:val="right"/>
        <w:rPr>
          <w:rFonts w:cstheme="minorHAnsi"/>
          <w:b/>
          <w:color w:val="002060"/>
          <w:sz w:val="24"/>
          <w:szCs w:val="24"/>
        </w:rPr>
      </w:pPr>
      <w:r w:rsidRPr="00F4276F">
        <w:rPr>
          <w:rFonts w:cstheme="minorHAnsi"/>
          <w:b/>
          <w:color w:val="002060"/>
          <w:sz w:val="24"/>
          <w:szCs w:val="24"/>
        </w:rPr>
        <w:t xml:space="preserve">Anexa </w:t>
      </w:r>
      <w:r w:rsidR="00C3196A">
        <w:rPr>
          <w:rFonts w:cstheme="minorHAnsi"/>
          <w:b/>
          <w:color w:val="002060"/>
          <w:sz w:val="24"/>
          <w:szCs w:val="24"/>
        </w:rPr>
        <w:t xml:space="preserve">nr. </w:t>
      </w:r>
      <w:r w:rsidR="00E83395" w:rsidRPr="00F4276F">
        <w:rPr>
          <w:rFonts w:cstheme="minorHAnsi"/>
          <w:b/>
          <w:color w:val="002060"/>
          <w:sz w:val="24"/>
          <w:szCs w:val="24"/>
        </w:rPr>
        <w:t>2</w:t>
      </w:r>
      <w:r w:rsidR="0096749A">
        <w:rPr>
          <w:rFonts w:cstheme="minorHAnsi"/>
          <w:b/>
          <w:color w:val="002060"/>
          <w:sz w:val="24"/>
          <w:szCs w:val="24"/>
        </w:rPr>
        <w:t xml:space="preserve"> la ghid</w:t>
      </w:r>
    </w:p>
    <w:p w14:paraId="24DADBD6" w14:textId="20BC2A15" w:rsidR="00CB2D34" w:rsidRDefault="006841E6" w:rsidP="003A5C6F">
      <w:pPr>
        <w:spacing w:before="60" w:after="0" w:line="240" w:lineRule="auto"/>
        <w:ind w:left="-630" w:firstLine="180"/>
        <w:jc w:val="center"/>
        <w:rPr>
          <w:rFonts w:cstheme="minorHAnsi"/>
          <w:b/>
          <w:bCs/>
          <w:color w:val="002060"/>
          <w:sz w:val="24"/>
          <w:szCs w:val="24"/>
        </w:rPr>
      </w:pPr>
      <w:r w:rsidRPr="00F4276F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062DD880" w14:textId="77777777" w:rsidR="00F00FF6" w:rsidRDefault="00F00FF6" w:rsidP="00F00FF6">
      <w:pPr>
        <w:spacing w:before="60" w:after="0" w:line="240" w:lineRule="auto"/>
        <w:rPr>
          <w:rFonts w:cstheme="minorHAnsi"/>
          <w:b/>
          <w:bCs/>
          <w:color w:val="002060"/>
          <w:sz w:val="24"/>
          <w:szCs w:val="24"/>
        </w:rPr>
      </w:pPr>
    </w:p>
    <w:p w14:paraId="760F1014" w14:textId="46495425" w:rsidR="00CB2D34" w:rsidRPr="00CB2D34" w:rsidRDefault="00CB2D34" w:rsidP="003A5C6F">
      <w:pPr>
        <w:spacing w:before="60" w:after="0" w:line="240" w:lineRule="auto"/>
        <w:rPr>
          <w:rFonts w:cstheme="minorHAnsi"/>
          <w:b/>
          <w:bCs/>
          <w:color w:val="002060"/>
          <w:sz w:val="24"/>
          <w:szCs w:val="24"/>
        </w:rPr>
      </w:pPr>
      <w:r w:rsidRPr="007F43F4">
        <w:rPr>
          <w:rFonts w:cstheme="minorHAnsi"/>
          <w:b/>
          <w:bCs/>
          <w:color w:val="002060"/>
          <w:sz w:val="24"/>
          <w:szCs w:val="24"/>
        </w:rPr>
        <w:t>Acțiunea A -</w:t>
      </w:r>
      <w:r w:rsidRPr="007F43F4">
        <w:rPr>
          <w:rFonts w:cstheme="minorHAnsi"/>
          <w:b/>
          <w:bCs/>
          <w:iCs/>
          <w:color w:val="002060"/>
          <w:sz w:val="24"/>
          <w:szCs w:val="24"/>
        </w:rPr>
        <w:t xml:space="preserve"> dotare a</w:t>
      </w:r>
      <w:r w:rsidRPr="007F43F4">
        <w:rPr>
          <w:rFonts w:cstheme="minorHAnsi"/>
          <w:iCs/>
          <w:color w:val="002060"/>
          <w:sz w:val="24"/>
          <w:szCs w:val="24"/>
        </w:rPr>
        <w:t xml:space="preserve"> </w:t>
      </w:r>
      <w:r w:rsidRPr="007F43F4">
        <w:rPr>
          <w:rFonts w:cstheme="minorHAnsi"/>
          <w:b/>
          <w:bCs/>
          <w:iCs/>
          <w:color w:val="002060"/>
          <w:sz w:val="24"/>
          <w:szCs w:val="24"/>
        </w:rPr>
        <w:t>cabinetelor medicale școlare</w:t>
      </w:r>
      <w:r w:rsidRPr="007F43F4">
        <w:rPr>
          <w:rFonts w:cstheme="minorHAnsi"/>
          <w:iCs/>
          <w:color w:val="002060"/>
          <w:sz w:val="24"/>
          <w:szCs w:val="24"/>
        </w:rPr>
        <w:t xml:space="preserve">, inclusiv a </w:t>
      </w:r>
      <w:r w:rsidRPr="007F43F4">
        <w:rPr>
          <w:rFonts w:cstheme="minorHAnsi"/>
          <w:b/>
          <w:bCs/>
          <w:iCs/>
          <w:color w:val="002060"/>
          <w:sz w:val="24"/>
          <w:szCs w:val="24"/>
        </w:rPr>
        <w:t>cabinetelor stomatologice</w:t>
      </w:r>
      <w:r w:rsidRPr="007F43F4">
        <w:rPr>
          <w:rFonts w:cstheme="minorHAnsi"/>
          <w:iCs/>
          <w:color w:val="002060"/>
          <w:sz w:val="24"/>
          <w:szCs w:val="24"/>
        </w:rPr>
        <w:t xml:space="preserve"> organizate în unități de învățământ</w:t>
      </w:r>
      <w:r>
        <w:rPr>
          <w:rFonts w:cstheme="minorHAnsi"/>
          <w:iCs/>
          <w:color w:val="002060"/>
          <w:sz w:val="24"/>
          <w:szCs w:val="24"/>
        </w:rPr>
        <w:t xml:space="preserve"> publice</w:t>
      </w:r>
    </w:p>
    <w:p w14:paraId="1B99CB0A" w14:textId="77777777" w:rsidR="00CB2D34" w:rsidRPr="00F4276F" w:rsidRDefault="00CB2D34" w:rsidP="00B23D9A">
      <w:pPr>
        <w:spacing w:before="60" w:after="0" w:line="240" w:lineRule="auto"/>
        <w:ind w:left="-630" w:firstLine="180"/>
        <w:jc w:val="right"/>
        <w:rPr>
          <w:rFonts w:cstheme="minorHAnsi"/>
          <w:b/>
          <w:bCs/>
          <w:color w:val="002060"/>
          <w:sz w:val="24"/>
          <w:szCs w:val="24"/>
        </w:rPr>
      </w:pPr>
    </w:p>
    <w:p w14:paraId="5E89F220" w14:textId="001035DE" w:rsidR="00D75609" w:rsidRPr="00F4276F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F4276F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F4276F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F4276F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F4276F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F4276F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0E3A54" w:rsidRPr="00F4276F" w14:paraId="53C3A067" w14:textId="77777777" w:rsidTr="000E3A5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C23375" w:rsidRPr="00F4276F" w14:paraId="398D8C1C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CBDC" w14:textId="10855B8B" w:rsidR="00C23375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7F86448B" w14:textId="30AFDE2A" w:rsidR="009545B7" w:rsidRPr="009545B7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eastAsia="Times New Roman" w:cstheme="minorHAnsi"/>
                <w:color w:val="002060"/>
                <w:sz w:val="24"/>
                <w:szCs w:val="24"/>
              </w:rPr>
              <w:t>01PSO2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268B" w14:textId="77777777" w:rsidR="00140EA0" w:rsidRPr="00140EA0" w:rsidRDefault="00140EA0" w:rsidP="00140EA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0" w:name="_Hlk115268009"/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Cabinete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de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asistență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medicală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școlară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/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sănătate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orală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bookmarkEnd w:id="0"/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sprijinite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>, din care:</w:t>
            </w:r>
          </w:p>
          <w:p w14:paraId="5D008ACC" w14:textId="23F6670F" w:rsidR="00C23375" w:rsidRPr="00F4276F" w:rsidRDefault="00140EA0" w:rsidP="00140EA0">
            <w:pPr>
              <w:pStyle w:val="ListParagraph"/>
              <w:numPr>
                <w:ilvl w:val="0"/>
                <w:numId w:val="14"/>
              </w:numPr>
              <w:spacing w:before="60"/>
              <w:ind w:left="646" w:right="120" w:hanging="27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din zona </w:t>
            </w:r>
            <w:proofErr w:type="spellStart"/>
            <w:r w:rsidRPr="00140EA0">
              <w:rPr>
                <w:rFonts w:eastAsia="Times New Roman" w:cstheme="minorHAnsi"/>
                <w:color w:val="002060"/>
                <w:sz w:val="24"/>
                <w:szCs w:val="24"/>
              </w:rPr>
              <w:t>rurală</w:t>
            </w:r>
            <w:proofErr w:type="spellEnd"/>
          </w:p>
        </w:tc>
        <w:tc>
          <w:tcPr>
            <w:tcW w:w="1362" w:type="dxa"/>
          </w:tcPr>
          <w:p w14:paraId="34B354E5" w14:textId="17A8CA5F" w:rsidR="00C23375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Cabinete de asistență medicală școlară/ sănătate orală</w:t>
            </w:r>
          </w:p>
        </w:tc>
        <w:tc>
          <w:tcPr>
            <w:tcW w:w="1362" w:type="dxa"/>
          </w:tcPr>
          <w:p w14:paraId="758FC4F9" w14:textId="77777777" w:rsidR="00C23375" w:rsidRPr="00F4276F" w:rsidRDefault="00C23375" w:rsidP="00F4276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4168604D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1E32DB9D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7D80514F" w14:textId="71B4F048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Numărul de </w:t>
            </w:r>
            <w:r w:rsidR="00140EA0" w:rsidRPr="00140EA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cabinete de asistență medicală școlară</w:t>
            </w:r>
            <w:r w:rsidR="007F329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și/sau</w:t>
            </w:r>
            <w:r w:rsidR="00140EA0" w:rsidRPr="00140EA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sănătate orală</w:t>
            </w:r>
            <w:r w:rsidR="00CB2D34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(stomatologie)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care, în contextul prezentului apelul, beneficiază de </w:t>
            </w:r>
            <w:r w:rsidR="00CB2D34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dotări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pentru a desfășura/acorda </w:t>
            </w:r>
            <w:r w:rsidR="0096749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servicii </w:t>
            </w:r>
            <w:r w:rsidR="00205AD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medicale</w:t>
            </w:r>
            <w:r w:rsidR="00140EA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.</w:t>
            </w:r>
          </w:p>
          <w:p w14:paraId="6CDFBB75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0B6F6A3A" w14:textId="2A67D83F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6B2446" w14:textId="3EE9A911" w:rsidR="00C23375" w:rsidRPr="00140EA0" w:rsidRDefault="00C23375" w:rsidP="00617A8C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</w:t>
            </w:r>
            <w:r w:rsidR="00140EA0"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01PSO2 </w:t>
            </w:r>
            <w:r w:rsidR="00140EA0" w:rsidRP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Cabinete de asistență medicală școlară</w:t>
            </w:r>
            <w:r w:rsidR="007F329A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și/sau</w:t>
            </w:r>
            <w:r w:rsidR="00140EA0" w:rsidRP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sănătate orală sprijinite, din care:</w:t>
            </w:r>
            <w:r w:rsid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  -</w:t>
            </w:r>
            <w:r w:rsidR="00140EA0" w:rsidRP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din zona rurală </w:t>
            </w: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va fi </w:t>
            </w:r>
            <w:r w:rsidR="00CB2D34">
              <w:rPr>
                <w:rFonts w:cstheme="minorHAnsi"/>
                <w:color w:val="002060"/>
                <w:sz w:val="24"/>
                <w:szCs w:val="24"/>
                <w:lang w:val="ro-RO"/>
              </w:rPr>
              <w:t>3</w:t>
            </w: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  <w:bookmarkStart w:id="1" w:name="_Hlk139990368"/>
          </w:p>
          <w:p w14:paraId="15843EE0" w14:textId="51304D3A" w:rsidR="00C23375" w:rsidRPr="00F4276F" w:rsidRDefault="00C23375" w:rsidP="00F4276F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bookmarkStart w:id="2" w:name="_Hlk139275941"/>
            <w:bookmarkEnd w:id="1"/>
            <w:r w:rsidRPr="00F4276F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</w:t>
            </w:r>
          </w:p>
          <w:bookmarkEnd w:id="2"/>
          <w:p w14:paraId="250A5833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1AF36C" w14:textId="68F35868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momentul operaționalizării investiției (PV de recepție</w:t>
            </w:r>
            <w:r w:rsid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documente care atestă faptul că unitatea </w:t>
            </w:r>
            <w:r w:rsidR="008B64E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de învățământ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poate </w:t>
            </w:r>
            <w:r w:rsidR="00CB2D34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furniza</w:t>
            </w:r>
            <w:r w:rsidR="00205AD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servicii medicale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 alte documente, etc</w:t>
            </w:r>
            <w:r w:rsid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</w:p>
          <w:p w14:paraId="6C23EED0" w14:textId="4572E59A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Stabilirea și raportarea indicatorului pe tip de regiune de dezvoltare se face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funcție de localizarea </w:t>
            </w:r>
            <w:proofErr w:type="spellStart"/>
            <w:r w:rsidR="00140EA0">
              <w:rPr>
                <w:rFonts w:cstheme="minorHAnsi"/>
                <w:iCs/>
                <w:color w:val="002060"/>
                <w:sz w:val="24"/>
                <w:szCs w:val="24"/>
              </w:rPr>
              <w:t>investiției</w:t>
            </w:r>
            <w:proofErr w:type="spellEnd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, respectiv regiunea mai puțin dezvoltată</w:t>
            </w:r>
            <w:r w:rsidR="00205AD2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4213779D" w14:textId="77777777" w:rsidR="007B6E92" w:rsidRDefault="007B6E92">
      <w:pPr>
        <w:rPr>
          <w:rFonts w:cstheme="minorHAnsi"/>
          <w:color w:val="002060"/>
          <w:sz w:val="24"/>
          <w:szCs w:val="24"/>
        </w:rPr>
      </w:pPr>
      <w:r>
        <w:rPr>
          <w:rFonts w:cstheme="minorHAnsi"/>
          <w:color w:val="002060"/>
          <w:sz w:val="24"/>
          <w:szCs w:val="24"/>
        </w:rPr>
        <w:br w:type="page"/>
      </w:r>
    </w:p>
    <w:p w14:paraId="14A9887A" w14:textId="54D8F5BD" w:rsidR="00A40BE2" w:rsidRPr="00F4276F" w:rsidRDefault="002D51C8" w:rsidP="00676342">
      <w:pPr>
        <w:rPr>
          <w:rFonts w:cstheme="minorHAnsi"/>
          <w:b/>
          <w:color w:val="002060"/>
          <w:sz w:val="24"/>
          <w:szCs w:val="24"/>
        </w:rPr>
      </w:pPr>
      <w:bookmarkStart w:id="3" w:name="_Toc126864174"/>
      <w:r w:rsidRPr="00F4276F">
        <w:rPr>
          <w:rFonts w:cstheme="minorHAnsi"/>
          <w:b/>
          <w:color w:val="002060"/>
          <w:sz w:val="24"/>
          <w:szCs w:val="24"/>
        </w:rPr>
        <w:lastRenderedPageBreak/>
        <w:t>De</w:t>
      </w:r>
      <w:r w:rsidR="00A40BE2" w:rsidRPr="00F4276F">
        <w:rPr>
          <w:rFonts w:cstheme="minorHAnsi"/>
          <w:b/>
          <w:color w:val="002060"/>
          <w:sz w:val="24"/>
          <w:szCs w:val="24"/>
        </w:rPr>
        <w:t>finiți</w:t>
      </w:r>
      <w:r w:rsidR="00545FF1" w:rsidRPr="00F4276F">
        <w:rPr>
          <w:rFonts w:cstheme="minorHAnsi"/>
          <w:b/>
          <w:color w:val="002060"/>
          <w:sz w:val="24"/>
          <w:szCs w:val="24"/>
        </w:rPr>
        <w:t>a</w:t>
      </w:r>
      <w:r w:rsidR="00A40BE2" w:rsidRPr="00F4276F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545FF1" w:rsidRPr="00F4276F">
        <w:rPr>
          <w:rFonts w:cstheme="minorHAnsi"/>
          <w:b/>
          <w:color w:val="002060"/>
          <w:sz w:val="24"/>
          <w:szCs w:val="24"/>
        </w:rPr>
        <w:t xml:space="preserve">ului </w:t>
      </w:r>
      <w:r w:rsidR="00A40BE2" w:rsidRPr="00F4276F">
        <w:rPr>
          <w:rFonts w:cstheme="minorHAnsi"/>
          <w:b/>
          <w:color w:val="002060"/>
          <w:sz w:val="24"/>
          <w:szCs w:val="24"/>
        </w:rPr>
        <w:t>de rezultat</w:t>
      </w:r>
      <w:bookmarkEnd w:id="3"/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0E3A54" w:rsidRPr="00F4276F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0E3A54" w:rsidRPr="00F4276F" w14:paraId="4537DDA7" w14:textId="77777777" w:rsidTr="000E3A54">
        <w:tc>
          <w:tcPr>
            <w:tcW w:w="1260" w:type="dxa"/>
          </w:tcPr>
          <w:p w14:paraId="55462905" w14:textId="399656E4" w:rsidR="000E3A54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01PSR5</w:t>
            </w:r>
          </w:p>
        </w:tc>
        <w:tc>
          <w:tcPr>
            <w:tcW w:w="2420" w:type="dxa"/>
          </w:tcPr>
          <w:p w14:paraId="7FA09428" w14:textId="59018C81" w:rsidR="000E3A54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% copiilor eligibili care beneficiază de examen anual de bilanț</w:t>
            </w:r>
          </w:p>
        </w:tc>
        <w:tc>
          <w:tcPr>
            <w:tcW w:w="1362" w:type="dxa"/>
          </w:tcPr>
          <w:p w14:paraId="335AC38E" w14:textId="313D243B" w:rsidR="000E3A54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% copii</w:t>
            </w:r>
          </w:p>
        </w:tc>
        <w:tc>
          <w:tcPr>
            <w:tcW w:w="1362" w:type="dxa"/>
          </w:tcPr>
          <w:p w14:paraId="35B81820" w14:textId="4881B71E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0DFAD366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  <w:p w14:paraId="4E60BF96" w14:textId="0028C531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8301" w:type="dxa"/>
          </w:tcPr>
          <w:p w14:paraId="7BDFAB2F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322CA541" w14:textId="046A3724" w:rsidR="000644D4" w:rsidRDefault="000644D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măsoară ponderea copiilor care beneficiază de examen de bilanț anual, din numărul total de copii înscriși în unitatea</w:t>
            </w:r>
            <w:r w:rsidR="000A6663">
              <w:rPr>
                <w:rFonts w:cstheme="minorHAnsi"/>
                <w:color w:val="002060"/>
                <w:sz w:val="24"/>
                <w:szCs w:val="24"/>
                <w:lang w:val="ro-RO"/>
              </w:rPr>
              <w:t>/unitățile</w:t>
            </w: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0A6663"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>învățământ</w:t>
            </w:r>
            <w:r w:rsidR="000A6663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care beneficiază de dotări</w:t>
            </w: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</w:t>
            </w:r>
          </w:p>
          <w:p w14:paraId="401D7886" w14:textId="77777777" w:rsidR="000644D4" w:rsidRDefault="000644D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863B8D0" w14:textId="06B93C56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7F75D73B" w14:textId="77777777" w:rsidR="000A6663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</w:t>
            </w:r>
            <w:r w:rsidR="000A6663">
              <w:rPr>
                <w:rFonts w:cstheme="minorHAnsi"/>
                <w:color w:val="002060"/>
                <w:sz w:val="24"/>
                <w:szCs w:val="24"/>
              </w:rPr>
              <w:t>:</w:t>
            </w:r>
          </w:p>
          <w:p w14:paraId="2A79971B" w14:textId="63239AB4" w:rsidR="000711CE" w:rsidRDefault="0092413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Del="00924135">
              <w:t xml:space="preserve"> </w:t>
            </w:r>
          </w:p>
          <w:p w14:paraId="525D996C" w14:textId="383992DE" w:rsidR="00924135" w:rsidRDefault="0092413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m:oMath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  <w:lang w:val="ro-RO"/>
                </w:rPr>
                <m:t>01PSR5=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  <w:lang w:val="ro-RO"/>
                    </w:rPr>
                    <m:t>numărul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  <w:lang w:val="ro-RO"/>
                    </w:rPr>
                    <m:t>copiilor care beneficiază de examen anual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  <w:lang w:val="ro-RO"/>
                    </w:rPr>
                    <m:t xml:space="preserve">total copii înscriși în unitatea/unitatile de învățământ  în anul respectiv </m:t>
                  </m:r>
                </m:den>
              </m:f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  <w:lang w:val="ro-RO"/>
                </w:rPr>
                <m:t>*100</m:t>
              </m:r>
            </m:oMath>
            <w:r w:rsidR="000343FB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46BB47F2" w14:textId="2C1B32D3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3B30B045" w14:textId="67F2DCC1" w:rsidR="000E3A54" w:rsidRDefault="000E3A54" w:rsidP="00F4276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estimarea 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ponder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ii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copiilor care beneficiază de examen de bilanț anual, din numărul total de copii înscriși în unitatea de învățământ</w:t>
            </w:r>
            <w:r w:rsidR="00510565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în anul respectiv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3F9C3554" w14:textId="6C52BC86" w:rsidR="000343FB" w:rsidRPr="003A5C6F" w:rsidRDefault="000343FB" w:rsidP="003A5C6F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EE0000"/>
                <w:sz w:val="24"/>
                <w:szCs w:val="24"/>
                <w:lang w:val="ro-RO"/>
              </w:rPr>
            </w:pPr>
            <w:r w:rsidRPr="003A5C6F">
              <w:rPr>
                <w:rFonts w:cstheme="minorHAnsi"/>
                <w:color w:val="EE0000"/>
                <w:sz w:val="24"/>
                <w:szCs w:val="24"/>
                <w:lang w:val="ro-RO"/>
              </w:rPr>
              <w:t>Ținta nu poate fi mai mică de 90% din totalul copiilor</w:t>
            </w:r>
            <w:r w:rsidRPr="003A5C6F">
              <w:rPr>
                <w:rFonts w:cstheme="minorHAnsi"/>
                <w:b/>
                <w:bCs/>
                <w:color w:val="EE0000"/>
                <w:sz w:val="24"/>
                <w:szCs w:val="24"/>
                <w:lang w:val="ro-RO"/>
              </w:rPr>
              <w:t xml:space="preserve"> </w:t>
            </w:r>
            <w:r w:rsidRPr="003A5C6F">
              <w:rPr>
                <w:rFonts w:cstheme="minorHAnsi"/>
                <w:color w:val="EE0000"/>
                <w:sz w:val="24"/>
                <w:szCs w:val="24"/>
                <w:lang w:val="ro-RO"/>
              </w:rPr>
              <w:t>înscriși în unitatea de învățământ.</w:t>
            </w:r>
          </w:p>
          <w:p w14:paraId="5EBB3CBE" w14:textId="6B0BD17F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ponderea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</w:t>
            </w:r>
            <w:r w:rsidR="000711CE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 xml:space="preserve"> efectiv</w:t>
            </w:r>
            <w:r w:rsidR="000711CE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 xml:space="preserve"> anual</w:t>
            </w:r>
            <w:r w:rsidR="000711CE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a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copiilor care beneficiază de examen de bilanț anual, din numărul total de copii înscriși în unitatea de învățământ.</w:t>
            </w:r>
          </w:p>
          <w:p w14:paraId="009474B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t>Raportare</w:t>
            </w:r>
          </w:p>
          <w:p w14:paraId="31400D45" w14:textId="491035F3" w:rsidR="000E3A54" w:rsidRPr="00F4276F" w:rsidRDefault="000E3A54" w:rsidP="00F4276F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711CE" w:rsidRPr="000711CE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finalizarea investiției corelat cu structura anului școlar și apoi anual până în 2030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2F50AE34" w14:textId="26C25B24" w:rsidR="000E3A54" w:rsidRPr="00F4276F" w:rsidRDefault="000711CE" w:rsidP="00F4276F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Stabilirea și raportarea indicatorului pe tip de regiune de dezvoltare se face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în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funcție de localizarea investiției, respectiv regiunea mai puțin dezvoltată</w:t>
            </w:r>
            <w:r w:rsidR="00F00FF6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0B3F2491" w14:textId="77777777" w:rsidR="005E7824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p w14:paraId="245C7DC0" w14:textId="1981A441" w:rsidR="00E73D39" w:rsidRDefault="00E73D39" w:rsidP="00F4276F">
      <w:pPr>
        <w:spacing w:before="60" w:after="0" w:line="240" w:lineRule="auto"/>
        <w:jc w:val="both"/>
        <w:rPr>
          <w:rFonts w:cstheme="minorHAnsi"/>
          <w:b/>
          <w:bCs/>
          <w:iCs/>
          <w:color w:val="002060"/>
          <w:sz w:val="24"/>
          <w:szCs w:val="24"/>
        </w:rPr>
      </w:pPr>
      <w:r w:rsidRPr="00BF35A6">
        <w:rPr>
          <w:rFonts w:cstheme="minorHAnsi"/>
          <w:b/>
          <w:bCs/>
          <w:iCs/>
          <w:color w:val="002060"/>
          <w:sz w:val="24"/>
          <w:szCs w:val="24"/>
        </w:rPr>
        <w:t>Acțiunea B - dotare cu unități mobile</w:t>
      </w:r>
      <w:r w:rsidRPr="00BF35A6">
        <w:rPr>
          <w:rFonts w:cstheme="minorHAnsi"/>
          <w:iCs/>
          <w:color w:val="002060"/>
          <w:sz w:val="24"/>
          <w:szCs w:val="24"/>
        </w:rPr>
        <w:t xml:space="preserve">, </w:t>
      </w:r>
      <w:r w:rsidRPr="007F43F4">
        <w:rPr>
          <w:rFonts w:cstheme="minorHAnsi"/>
          <w:b/>
          <w:bCs/>
          <w:iCs/>
          <w:color w:val="002060"/>
          <w:sz w:val="24"/>
          <w:szCs w:val="24"/>
        </w:rPr>
        <w:t xml:space="preserve">destinate furnizării de </w:t>
      </w:r>
      <w:r w:rsidRPr="00BF35A6">
        <w:rPr>
          <w:rFonts w:cstheme="minorHAnsi"/>
          <w:b/>
          <w:bCs/>
          <w:iCs/>
          <w:color w:val="002060"/>
          <w:sz w:val="24"/>
          <w:szCs w:val="24"/>
        </w:rPr>
        <w:t>servicii de</w:t>
      </w:r>
      <w:r w:rsidRPr="007F43F4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BF35A6">
        <w:rPr>
          <w:rFonts w:cstheme="minorHAnsi"/>
          <w:b/>
          <w:bCs/>
          <w:iCs/>
          <w:color w:val="002060"/>
          <w:sz w:val="24"/>
          <w:szCs w:val="24"/>
        </w:rPr>
        <w:t>asistență medicală stomatologică</w:t>
      </w:r>
    </w:p>
    <w:p w14:paraId="4CA81DA4" w14:textId="77777777" w:rsidR="00E73D39" w:rsidRDefault="00E73D39" w:rsidP="00F4276F">
      <w:pPr>
        <w:spacing w:before="60" w:after="0" w:line="240" w:lineRule="auto"/>
        <w:jc w:val="both"/>
        <w:rPr>
          <w:rFonts w:cstheme="minorHAnsi"/>
          <w:b/>
          <w:bCs/>
          <w:iCs/>
          <w:color w:val="002060"/>
          <w:sz w:val="24"/>
          <w:szCs w:val="24"/>
        </w:rPr>
      </w:pPr>
    </w:p>
    <w:p w14:paraId="6290CFDC" w14:textId="77777777" w:rsidR="00E73D39" w:rsidRPr="00F4276F" w:rsidRDefault="00E73D39" w:rsidP="00E73D39">
      <w:pPr>
        <w:spacing w:before="60" w:after="0" w:line="240" w:lineRule="auto"/>
        <w:ind w:left="-630" w:firstLine="180"/>
        <w:jc w:val="right"/>
        <w:rPr>
          <w:rFonts w:cstheme="minorHAnsi"/>
          <w:b/>
          <w:bCs/>
          <w:color w:val="002060"/>
          <w:sz w:val="24"/>
          <w:szCs w:val="24"/>
        </w:rPr>
      </w:pPr>
    </w:p>
    <w:p w14:paraId="68830775" w14:textId="77777777" w:rsidR="00E73D39" w:rsidRPr="00F4276F" w:rsidRDefault="00E73D39" w:rsidP="00E73D39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F4276F">
        <w:rPr>
          <w:rFonts w:cstheme="minorHAnsi"/>
          <w:b/>
          <w:color w:val="002060"/>
          <w:sz w:val="24"/>
          <w:szCs w:val="24"/>
          <w:lang w:val="ro-RO"/>
        </w:rPr>
        <w:t>Definiția indicatorilor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E73D39" w:rsidRPr="00F4276F" w14:paraId="00B6F4DA" w14:textId="77777777" w:rsidTr="007F43F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05C1F9DC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7D9B250A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43E8F2B5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5AB3F02E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4411FA2A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E73D39" w:rsidRPr="00F4276F" w14:paraId="703C571B" w14:textId="77777777" w:rsidTr="007F43F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0FA3" w14:textId="77777777" w:rsidR="00E73D39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66509BC8" w14:textId="29599F2E" w:rsidR="00E73D39" w:rsidRPr="009545B7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BF35A6">
              <w:rPr>
                <w:rFonts w:cstheme="minorHAnsi"/>
                <w:color w:val="002060"/>
                <w:sz w:val="24"/>
                <w:szCs w:val="24"/>
              </w:rPr>
              <w:t>01PSO3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0C3A" w14:textId="77777777" w:rsidR="00E73D39" w:rsidRPr="00BF35A6" w:rsidRDefault="00E73D39" w:rsidP="00E73D39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proofErr w:type="spellStart"/>
            <w:proofErr w:type="gramStart"/>
            <w:r w:rsidRPr="00BF35A6">
              <w:rPr>
                <w:rFonts w:cstheme="minorHAnsi"/>
                <w:color w:val="002060"/>
                <w:sz w:val="24"/>
                <w:szCs w:val="24"/>
              </w:rPr>
              <w:t>Unități</w:t>
            </w:r>
            <w:proofErr w:type="spellEnd"/>
            <w:r w:rsidRPr="00BF35A6">
              <w:rPr>
                <w:rFonts w:cstheme="minorHAnsi"/>
                <w:color w:val="002060"/>
                <w:sz w:val="24"/>
                <w:szCs w:val="24"/>
              </w:rPr>
              <w:t xml:space="preserve">  mobile</w:t>
            </w:r>
            <w:proofErr w:type="gramEnd"/>
            <w:r w:rsidRPr="00BF35A6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F35A6">
              <w:rPr>
                <w:rFonts w:cstheme="minorHAnsi"/>
                <w:color w:val="002060"/>
                <w:sz w:val="24"/>
                <w:szCs w:val="24"/>
              </w:rPr>
              <w:t>achiziționate</w:t>
            </w:r>
            <w:proofErr w:type="spellEnd"/>
            <w:r w:rsidRPr="00BF35A6">
              <w:rPr>
                <w:rFonts w:cstheme="minorHAnsi"/>
                <w:color w:val="002060"/>
                <w:sz w:val="24"/>
                <w:szCs w:val="24"/>
              </w:rPr>
              <w:t>, din care:</w:t>
            </w:r>
          </w:p>
          <w:p w14:paraId="559EEA38" w14:textId="5DB9BBE6" w:rsidR="00E73D39" w:rsidRPr="00F4276F" w:rsidRDefault="00E73D39" w:rsidP="00E73D39">
            <w:pPr>
              <w:pStyle w:val="ListParagraph"/>
              <w:numPr>
                <w:ilvl w:val="0"/>
                <w:numId w:val="14"/>
              </w:numPr>
              <w:spacing w:before="60"/>
              <w:ind w:left="646" w:right="120" w:hanging="27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destinate </w:t>
            </w:r>
            <w:proofErr w:type="spellStart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>furnizării</w:t>
            </w:r>
            <w:proofErr w:type="spellEnd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 de </w:t>
            </w:r>
            <w:proofErr w:type="spellStart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>servicii</w:t>
            </w:r>
            <w:proofErr w:type="spellEnd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 de </w:t>
            </w:r>
            <w:proofErr w:type="spellStart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>sănătate</w:t>
            </w:r>
            <w:proofErr w:type="spellEnd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F35A6">
              <w:rPr>
                <w:rFonts w:eastAsia="Times New Roman" w:cstheme="minorHAnsi"/>
                <w:color w:val="002060"/>
                <w:sz w:val="24"/>
                <w:szCs w:val="24"/>
              </w:rPr>
              <w:t>orală</w:t>
            </w:r>
            <w:proofErr w:type="spellEnd"/>
          </w:p>
        </w:tc>
        <w:tc>
          <w:tcPr>
            <w:tcW w:w="1362" w:type="dxa"/>
          </w:tcPr>
          <w:p w14:paraId="4C8C3984" w14:textId="6E681242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BF35A6">
              <w:rPr>
                <w:rFonts w:cstheme="minorHAnsi"/>
                <w:color w:val="002060"/>
                <w:sz w:val="24"/>
                <w:szCs w:val="24"/>
              </w:rPr>
              <w:t>Unități</w:t>
            </w:r>
            <w:proofErr w:type="spellEnd"/>
            <w:r w:rsidRPr="00BF35A6">
              <w:rPr>
                <w:rFonts w:cstheme="minorHAnsi"/>
                <w:color w:val="002060"/>
                <w:sz w:val="24"/>
                <w:szCs w:val="24"/>
              </w:rPr>
              <w:t xml:space="preserve">  mobile</w:t>
            </w:r>
            <w:proofErr w:type="gramEnd"/>
          </w:p>
        </w:tc>
        <w:tc>
          <w:tcPr>
            <w:tcW w:w="1362" w:type="dxa"/>
          </w:tcPr>
          <w:p w14:paraId="3A874842" w14:textId="77777777" w:rsidR="00E73D39" w:rsidRPr="00F4276F" w:rsidRDefault="00E73D39" w:rsidP="007F43F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2EBD481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5C445278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60D1DFD8" w14:textId="6DC52139" w:rsidR="00225FBA" w:rsidRPr="00225FBA" w:rsidRDefault="00225FBA" w:rsidP="00225FBA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225FB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În cadrul indicatorului vor fi cuantificate unitățile mobile</w:t>
            </w:r>
            <w:r w:rsidR="00BF2925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, </w:t>
            </w:r>
            <w:r w:rsidR="00BF2925" w:rsidRPr="007F43F4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 xml:space="preserve">destinate </w:t>
            </w:r>
            <w:proofErr w:type="spellStart"/>
            <w:r w:rsidR="00BF2925" w:rsidRPr="007F43F4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>furnizării</w:t>
            </w:r>
            <w:proofErr w:type="spellEnd"/>
            <w:r w:rsidR="00BF2925" w:rsidRPr="007F43F4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 xml:space="preserve"> de </w:t>
            </w:r>
            <w:proofErr w:type="spellStart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>servicii</w:t>
            </w:r>
            <w:proofErr w:type="spellEnd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 xml:space="preserve"> de</w:t>
            </w:r>
            <w:r w:rsidR="00BF2925" w:rsidRPr="007F43F4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>asistență</w:t>
            </w:r>
            <w:proofErr w:type="spellEnd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>medicală</w:t>
            </w:r>
            <w:proofErr w:type="spellEnd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BF2925" w:rsidRPr="00BF35A6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>stomatologică</w:t>
            </w:r>
            <w:proofErr w:type="spellEnd"/>
            <w:r w:rsidR="00BF2925"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  <w:t>,</w:t>
            </w:r>
            <w:r w:rsidRPr="00225FB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autorizate sanitar conform:</w:t>
            </w:r>
          </w:p>
          <w:p w14:paraId="1DBD81B7" w14:textId="6E8550F6" w:rsidR="00E73D39" w:rsidRDefault="00225FBA" w:rsidP="00225FBA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bookmarkStart w:id="4" w:name="_Hlk220662718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Ordinului M.S  Nr. 606/2018 din 7 mai 2018 pentru aprobarea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Normelor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metodologice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privind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înfiinţarea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organizarea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funcţionarea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cabinetelor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unităţilor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medicale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mobile art. 1 alin. b) Cabinet medical mobil - structură medicală mobilă organizată pe un autovehicul special amenajat (autobuz, rulotă, tir,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autoutilitară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furgon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carosat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şasiu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carosat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camion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carosat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cap tractor cu semiremorcă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carosată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container,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navă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şalupă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ponton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mobil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), cu dotări minime, care se deplasează în teritoriu împreună cu personalul medical, în vederea acordării serviciilor medicale, în special în zone rurale sau în zone cu acoperire deficitară cu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servicii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medicale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atât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adulţilor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cât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copiilor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persoanelor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aparţinând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categoriilor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defavorizate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, precum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celorlalte</w:t>
            </w:r>
            <w:proofErr w:type="spellEnd"/>
            <w:r w:rsidRPr="003A5C6F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3A5C6F">
              <w:rPr>
                <w:rFonts w:cstheme="minorHAnsi"/>
                <w:color w:val="002060"/>
                <w:sz w:val="24"/>
                <w:szCs w:val="24"/>
              </w:rPr>
              <w:t>persoane</w:t>
            </w:r>
            <w:proofErr w:type="spellEnd"/>
          </w:p>
          <w:p w14:paraId="698874FB" w14:textId="77777777" w:rsidR="006B08C4" w:rsidRDefault="006B08C4" w:rsidP="00225FBA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3D0D3BF1" w14:textId="77777777" w:rsidR="006B08C4" w:rsidRPr="003A5C6F" w:rsidRDefault="006B08C4" w:rsidP="00225FBA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bookmarkEnd w:id="4"/>
          <w:p w14:paraId="0A2618FC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lastRenderedPageBreak/>
              <w:t>Modalitate de calcul</w:t>
            </w:r>
          </w:p>
          <w:p w14:paraId="7299244E" w14:textId="43BB0723" w:rsidR="00E73D39" w:rsidRPr="00BF2925" w:rsidRDefault="00E73D39" w:rsidP="003A5C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BF2925">
              <w:rPr>
                <w:rFonts w:cstheme="minorHAnsi"/>
                <w:color w:val="002060"/>
                <w:sz w:val="24"/>
                <w:szCs w:val="24"/>
                <w:lang w:val="ro-RO"/>
              </w:rPr>
              <w:t>La nivel de proiect, ținta indicatorului 01PSO</w:t>
            </w:r>
            <w:r w:rsidR="00BF2925" w:rsidRPr="00BF2925">
              <w:rPr>
                <w:rFonts w:cstheme="minorHAnsi"/>
                <w:color w:val="002060"/>
                <w:sz w:val="24"/>
                <w:szCs w:val="24"/>
                <w:lang w:val="ro-RO"/>
              </w:rPr>
              <w:t>3</w:t>
            </w:r>
            <w:r w:rsidRPr="00BF2925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BF2925" w:rsidRPr="00BF2925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Unități  mobile achiziționate, din care: destinate furnizării de servicii de sănătate orală </w:t>
            </w:r>
            <w:r w:rsidRPr="00BF2925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va fi </w:t>
            </w:r>
            <w:r w:rsidR="00CD589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cel puțin </w:t>
            </w:r>
            <w:r w:rsidR="00BF2925">
              <w:rPr>
                <w:rFonts w:cstheme="minorHAnsi"/>
                <w:color w:val="002060"/>
                <w:sz w:val="24"/>
                <w:szCs w:val="24"/>
                <w:lang w:val="ro-RO"/>
              </w:rPr>
              <w:t>1</w:t>
            </w:r>
            <w:r w:rsidRPr="00BF2925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7812BD58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F4276F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</w:t>
            </w:r>
          </w:p>
          <w:p w14:paraId="01F6C04D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723BE9AA" w14:textId="6744150A" w:rsidR="00E73D39" w:rsidRPr="00F4276F" w:rsidRDefault="00E73D39" w:rsidP="007F43F4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momentul operaționalizării investiției (PV de recepție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documente care atestă faptul că unitatea </w:t>
            </w:r>
            <w:r w:rsidR="00C05049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mobilă</w:t>
            </w:r>
            <w:r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poate 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furniza servicii medicale</w:t>
            </w:r>
            <w:r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 alte documente, etc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</w:p>
          <w:p w14:paraId="7F801897" w14:textId="77777777" w:rsidR="00E73D39" w:rsidRPr="00F4276F" w:rsidRDefault="00E73D39" w:rsidP="007F43F4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Stabilirea și raportarea indicatorului pe tip de regiune de dezvoltare se face 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funcție de localizarea </w:t>
            </w:r>
            <w:proofErr w:type="spellStart"/>
            <w:r>
              <w:rPr>
                <w:rFonts w:cstheme="minorHAnsi"/>
                <w:iCs/>
                <w:color w:val="002060"/>
                <w:sz w:val="24"/>
                <w:szCs w:val="24"/>
              </w:rPr>
              <w:t>investiției</w:t>
            </w:r>
            <w:proofErr w:type="spellEnd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, respectiv regiunea mai puțin dezvoltată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55E6A98F" w14:textId="77777777" w:rsidR="00E73D39" w:rsidRDefault="00E73D39" w:rsidP="00E73D39">
      <w:pPr>
        <w:rPr>
          <w:rFonts w:cstheme="minorHAnsi"/>
          <w:color w:val="002060"/>
          <w:sz w:val="24"/>
          <w:szCs w:val="24"/>
        </w:rPr>
      </w:pPr>
      <w:r>
        <w:rPr>
          <w:rFonts w:cstheme="minorHAnsi"/>
          <w:color w:val="002060"/>
          <w:sz w:val="24"/>
          <w:szCs w:val="24"/>
        </w:rPr>
        <w:lastRenderedPageBreak/>
        <w:br w:type="page"/>
      </w:r>
    </w:p>
    <w:p w14:paraId="0D03AB71" w14:textId="77777777" w:rsidR="00E73D39" w:rsidRPr="00F4276F" w:rsidRDefault="00E73D39" w:rsidP="00E73D39">
      <w:pPr>
        <w:rPr>
          <w:rFonts w:cstheme="minorHAnsi"/>
          <w:b/>
          <w:color w:val="002060"/>
          <w:sz w:val="24"/>
          <w:szCs w:val="24"/>
        </w:rPr>
      </w:pPr>
      <w:r w:rsidRPr="00F4276F">
        <w:rPr>
          <w:rFonts w:cstheme="minorHAnsi"/>
          <w:b/>
          <w:color w:val="002060"/>
          <w:sz w:val="24"/>
          <w:szCs w:val="24"/>
        </w:rPr>
        <w:lastRenderedPageBreak/>
        <w:t>Definiția indicatorului de rezultat</w:t>
      </w:r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E73D39" w:rsidRPr="00F4276F" w14:paraId="030F8532" w14:textId="77777777" w:rsidTr="007F43F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60D4D561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00AE771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1D5DC7E6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31CA80F9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40C28FB2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E73D39" w:rsidRPr="00F4276F" w14:paraId="442BED55" w14:textId="77777777" w:rsidTr="007F43F4">
        <w:tc>
          <w:tcPr>
            <w:tcW w:w="1260" w:type="dxa"/>
          </w:tcPr>
          <w:p w14:paraId="0575875D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01PSR5</w:t>
            </w:r>
          </w:p>
        </w:tc>
        <w:tc>
          <w:tcPr>
            <w:tcW w:w="2420" w:type="dxa"/>
          </w:tcPr>
          <w:p w14:paraId="08D6B71C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% copiilor eligibili care beneficiază de examen anual de bilanț</w:t>
            </w:r>
          </w:p>
        </w:tc>
        <w:tc>
          <w:tcPr>
            <w:tcW w:w="1362" w:type="dxa"/>
          </w:tcPr>
          <w:p w14:paraId="303B59BF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% copii</w:t>
            </w:r>
          </w:p>
        </w:tc>
        <w:tc>
          <w:tcPr>
            <w:tcW w:w="1362" w:type="dxa"/>
          </w:tcPr>
          <w:p w14:paraId="6FEEC1E3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3591220B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  <w:p w14:paraId="1BD3CE26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8301" w:type="dxa"/>
          </w:tcPr>
          <w:p w14:paraId="27984C97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18BF0CF5" w14:textId="6357D31F" w:rsidR="00E73D39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măsoară ponderea copiilor eligibili care beneficiază de examen de bilanț anual, din numărul total de copii înscriși în unitatea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/unitățile</w:t>
            </w: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învățământ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care beneficiază </w:t>
            </w:r>
            <w:r w:rsidR="00C05049">
              <w:rPr>
                <w:rFonts w:cstheme="minorHAnsi"/>
                <w:color w:val="002060"/>
                <w:sz w:val="24"/>
                <w:szCs w:val="24"/>
                <w:lang w:val="ro-RO"/>
              </w:rPr>
              <w:t>de serviciile medicale furnizate de unitatea mobilă</w:t>
            </w: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</w:t>
            </w:r>
          </w:p>
          <w:p w14:paraId="7460CD25" w14:textId="77777777" w:rsidR="00E73D39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0AB02D9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7B9902CA" w14:textId="77777777" w:rsidR="00E73D39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</w:t>
            </w:r>
            <w:r>
              <w:rPr>
                <w:rFonts w:cstheme="minorHAnsi"/>
                <w:color w:val="002060"/>
                <w:sz w:val="24"/>
                <w:szCs w:val="24"/>
              </w:rPr>
              <w:t>:</w:t>
            </w:r>
          </w:p>
          <w:p w14:paraId="380CF5EC" w14:textId="77777777" w:rsidR="00E73D39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Del="00924135">
              <w:t xml:space="preserve"> </w:t>
            </w:r>
          </w:p>
          <w:p w14:paraId="64431FFF" w14:textId="77777777" w:rsidR="00E73D39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m:oMath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  <w:lang w:val="ro-RO"/>
                </w:rPr>
                <m:t>01PSR5=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  <w:lang w:val="ro-RO"/>
                    </w:rPr>
                    <m:t>numărul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  <w:lang w:val="ro-RO"/>
                    </w:rPr>
                    <m:t>copiilor care beneficiază de examen anual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  <w:lang w:val="ro-RO"/>
                    </w:rPr>
                    <m:t xml:space="preserve">total copii înscriși în unitatea/unitatile de învățământ  în anul respectiv </m:t>
                  </m:r>
                </m:den>
              </m:f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  <w:lang w:val="ro-RO"/>
                </w:rPr>
                <m:t>*100</m:t>
              </m:r>
            </m:oMath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7E2F5B7D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79D5D327" w14:textId="77777777" w:rsidR="00E73D39" w:rsidRDefault="00E73D39" w:rsidP="007F43F4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estimarea 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ponder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ii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copiilor care beneficiază de examen de bilanț anual, din numărul total de copii înscriși în unitatea de învățământ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în anul respectiv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1B126C0B" w14:textId="77777777" w:rsidR="00E73D39" w:rsidRPr="007F43F4" w:rsidRDefault="00E73D39" w:rsidP="007F43F4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EE0000"/>
                <w:sz w:val="24"/>
                <w:szCs w:val="24"/>
                <w:lang w:val="ro-RO"/>
              </w:rPr>
            </w:pPr>
            <w:r w:rsidRPr="007F43F4">
              <w:rPr>
                <w:rFonts w:cstheme="minorHAnsi"/>
                <w:color w:val="EE0000"/>
                <w:sz w:val="24"/>
                <w:szCs w:val="24"/>
                <w:lang w:val="ro-RO"/>
              </w:rPr>
              <w:t>Ținta nu poate fi mai mică de 90% din totalul copiilor</w:t>
            </w:r>
            <w:r w:rsidRPr="007F43F4">
              <w:rPr>
                <w:rFonts w:cstheme="minorHAnsi"/>
                <w:b/>
                <w:bCs/>
                <w:color w:val="EE0000"/>
                <w:sz w:val="24"/>
                <w:szCs w:val="24"/>
                <w:lang w:val="ro-RO"/>
              </w:rPr>
              <w:t xml:space="preserve"> </w:t>
            </w:r>
            <w:r w:rsidRPr="007F43F4">
              <w:rPr>
                <w:rFonts w:cstheme="minorHAnsi"/>
                <w:color w:val="EE0000"/>
                <w:sz w:val="24"/>
                <w:szCs w:val="24"/>
                <w:lang w:val="ro-RO"/>
              </w:rPr>
              <w:t>înscriși în unitatea de învățământ.</w:t>
            </w:r>
          </w:p>
          <w:p w14:paraId="2CC792A0" w14:textId="5771B051" w:rsidR="00E73D39" w:rsidRPr="00F4276F" w:rsidRDefault="00E73D39" w:rsidP="007F43F4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ponderea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</w:t>
            </w:r>
            <w:r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 xml:space="preserve"> efectiv</w:t>
            </w:r>
            <w:r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 xml:space="preserve"> anual</w:t>
            </w:r>
            <w:r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a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copiilor care beneficiază de examen de bilanț anual, din numărul total de copii înscriși în unitatea</w:t>
            </w:r>
            <w:r w:rsidR="00C05049">
              <w:rPr>
                <w:rFonts w:cstheme="minorHAnsi"/>
                <w:color w:val="002060"/>
                <w:sz w:val="24"/>
                <w:szCs w:val="24"/>
                <w:lang w:val="ro-RO"/>
              </w:rPr>
              <w:t>/unitățile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învățământ.</w:t>
            </w:r>
          </w:p>
          <w:p w14:paraId="7F50D98A" w14:textId="77777777" w:rsidR="00E73D39" w:rsidRPr="00F4276F" w:rsidRDefault="00E73D39" w:rsidP="007F43F4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t>Raportare</w:t>
            </w:r>
          </w:p>
          <w:p w14:paraId="5BB68608" w14:textId="5BB54DDE" w:rsidR="00E73D39" w:rsidRPr="00F4276F" w:rsidRDefault="00E73D39" w:rsidP="007F43F4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0711CE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finalizarea investiției corelat cu structura anului școlar și apoi anual până în 2030</w:t>
            </w:r>
            <w:r w:rsidR="00C0504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pentru fiecare unitate de </w:t>
            </w:r>
            <w:proofErr w:type="spellStart"/>
            <w:r w:rsidR="00C05049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invățământ</w:t>
            </w:r>
            <w:proofErr w:type="spellEnd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0440C756" w14:textId="77777777" w:rsidR="00E73D39" w:rsidRPr="00F4276F" w:rsidRDefault="00E73D39" w:rsidP="007F43F4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Stabilirea și raportarea indicatorului pe tip de regiune de dezvoltare se face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în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funcție de localizarea investiției, respectiv regiunea mai puțin dezvoltată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643CAD78" w14:textId="77777777" w:rsidR="00E73D39" w:rsidRDefault="00E73D39" w:rsidP="00E73D39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p w14:paraId="37A9DE51" w14:textId="77777777" w:rsidR="00E73D39" w:rsidRPr="00F4276F" w:rsidRDefault="00E73D39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E73D39" w:rsidRPr="00F4276F" w:rsidSect="006C239A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7AB37" w14:textId="77777777" w:rsidR="007A1FCD" w:rsidRDefault="007A1FCD" w:rsidP="000B36E6">
      <w:pPr>
        <w:spacing w:after="0" w:line="240" w:lineRule="auto"/>
      </w:pPr>
      <w:r>
        <w:separator/>
      </w:r>
    </w:p>
  </w:endnote>
  <w:endnote w:type="continuationSeparator" w:id="0">
    <w:p w14:paraId="2212CE2C" w14:textId="77777777" w:rsidR="007A1FCD" w:rsidRDefault="007A1FCD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977D2" w14:textId="77777777" w:rsidR="007A1FCD" w:rsidRDefault="007A1FCD" w:rsidP="000B36E6">
      <w:pPr>
        <w:spacing w:after="0" w:line="240" w:lineRule="auto"/>
      </w:pPr>
      <w:r>
        <w:separator/>
      </w:r>
    </w:p>
  </w:footnote>
  <w:footnote w:type="continuationSeparator" w:id="0">
    <w:p w14:paraId="4154B615" w14:textId="77777777" w:rsidR="007A1FCD" w:rsidRDefault="007A1FCD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0F3E" w14:textId="1992ED1B" w:rsidR="000B36E6" w:rsidRPr="0011620C" w:rsidRDefault="0011620C" w:rsidP="0011620C">
    <w:pPr>
      <w:spacing w:before="60" w:after="0" w:line="240" w:lineRule="auto"/>
      <w:jc w:val="center"/>
      <w:rPr>
        <w:b/>
        <w:bCs/>
        <w:i/>
        <w:iCs/>
        <w:color w:val="002060"/>
        <w:sz w:val="24"/>
        <w:szCs w:val="24"/>
      </w:rPr>
    </w:pPr>
    <w:r w:rsidRPr="00ED18C0">
      <w:rPr>
        <w:b/>
        <w:bCs/>
        <w:i/>
        <w:iCs/>
        <w:color w:val="002060"/>
        <w:sz w:val="24"/>
        <w:szCs w:val="24"/>
      </w:rPr>
      <w:t xml:space="preserve">Ghidul solicitantului: </w:t>
    </w:r>
    <w:bookmarkStart w:id="5" w:name="_Hlk167204194"/>
    <w:r w:rsidRPr="001450F2">
      <w:rPr>
        <w:b/>
        <w:bCs/>
        <w:i/>
        <w:iCs/>
        <w:color w:val="002060"/>
        <w:sz w:val="24"/>
        <w:szCs w:val="24"/>
      </w:rPr>
      <w:t>Investiții în infrastructura cabinetelor medicale, inclusiv cabinetelor medicale stomatologice organizate în unități de învățământ, dotarea cu unități mobile pentru asigurarea accesului copiilor și tinerilor care urmează o formă de învățământ la servicii de calitate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2F29"/>
    <w:multiLevelType w:val="hybridMultilevel"/>
    <w:tmpl w:val="630674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0B008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2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C52AD"/>
    <w:multiLevelType w:val="hybridMultilevel"/>
    <w:tmpl w:val="CBB2F97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31076"/>
    <w:multiLevelType w:val="hybridMultilevel"/>
    <w:tmpl w:val="FFE6C762"/>
    <w:lvl w:ilvl="0" w:tplc="AC6E9BF2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B6453F"/>
    <w:multiLevelType w:val="hybridMultilevel"/>
    <w:tmpl w:val="7CCC0C9A"/>
    <w:lvl w:ilvl="0" w:tplc="AC6E9BF2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1C211A"/>
    <w:multiLevelType w:val="hybridMultilevel"/>
    <w:tmpl w:val="4296DD2C"/>
    <w:lvl w:ilvl="0" w:tplc="AC6E9BF2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9164E0"/>
    <w:multiLevelType w:val="hybridMultilevel"/>
    <w:tmpl w:val="6EA29C3C"/>
    <w:lvl w:ilvl="0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066749">
    <w:abstractNumId w:val="4"/>
  </w:num>
  <w:num w:numId="2" w16cid:durableId="1701976135">
    <w:abstractNumId w:val="10"/>
  </w:num>
  <w:num w:numId="3" w16cid:durableId="169026954">
    <w:abstractNumId w:val="3"/>
  </w:num>
  <w:num w:numId="4" w16cid:durableId="1434714532">
    <w:abstractNumId w:val="11"/>
  </w:num>
  <w:num w:numId="5" w16cid:durableId="1014646523">
    <w:abstractNumId w:val="13"/>
  </w:num>
  <w:num w:numId="6" w16cid:durableId="1268924241">
    <w:abstractNumId w:val="6"/>
  </w:num>
  <w:num w:numId="7" w16cid:durableId="946162715">
    <w:abstractNumId w:val="12"/>
  </w:num>
  <w:num w:numId="8" w16cid:durableId="889926734">
    <w:abstractNumId w:val="5"/>
  </w:num>
  <w:num w:numId="9" w16cid:durableId="1045328909">
    <w:abstractNumId w:val="2"/>
  </w:num>
  <w:num w:numId="10" w16cid:durableId="824051508">
    <w:abstractNumId w:val="7"/>
  </w:num>
  <w:num w:numId="11" w16cid:durableId="1111779097">
    <w:abstractNumId w:val="8"/>
  </w:num>
  <w:num w:numId="12" w16cid:durableId="111754593">
    <w:abstractNumId w:val="15"/>
  </w:num>
  <w:num w:numId="13" w16cid:durableId="1628470012">
    <w:abstractNumId w:val="9"/>
  </w:num>
  <w:num w:numId="14" w16cid:durableId="1010958939">
    <w:abstractNumId w:val="14"/>
  </w:num>
  <w:num w:numId="15" w16cid:durableId="967710784">
    <w:abstractNumId w:val="0"/>
  </w:num>
  <w:num w:numId="16" w16cid:durableId="680595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1252"/>
    <w:rsid w:val="00002698"/>
    <w:rsid w:val="00012A69"/>
    <w:rsid w:val="00017B96"/>
    <w:rsid w:val="000343FB"/>
    <w:rsid w:val="00042EAC"/>
    <w:rsid w:val="00052830"/>
    <w:rsid w:val="00054CBC"/>
    <w:rsid w:val="000644D4"/>
    <w:rsid w:val="000711CE"/>
    <w:rsid w:val="00075299"/>
    <w:rsid w:val="00080616"/>
    <w:rsid w:val="00081C54"/>
    <w:rsid w:val="000827A2"/>
    <w:rsid w:val="00096EFB"/>
    <w:rsid w:val="000A6663"/>
    <w:rsid w:val="000B36E6"/>
    <w:rsid w:val="000D7731"/>
    <w:rsid w:val="000E3A54"/>
    <w:rsid w:val="000F2DFF"/>
    <w:rsid w:val="001001D1"/>
    <w:rsid w:val="00111510"/>
    <w:rsid w:val="0011620C"/>
    <w:rsid w:val="00120C78"/>
    <w:rsid w:val="00120DB8"/>
    <w:rsid w:val="001250F4"/>
    <w:rsid w:val="00134DD9"/>
    <w:rsid w:val="00140EA0"/>
    <w:rsid w:val="0014520F"/>
    <w:rsid w:val="00150790"/>
    <w:rsid w:val="00153074"/>
    <w:rsid w:val="0015393E"/>
    <w:rsid w:val="00161C70"/>
    <w:rsid w:val="001654A8"/>
    <w:rsid w:val="00165C26"/>
    <w:rsid w:val="001735A6"/>
    <w:rsid w:val="0019350C"/>
    <w:rsid w:val="001A4839"/>
    <w:rsid w:val="001A6579"/>
    <w:rsid w:val="001A6EF9"/>
    <w:rsid w:val="001A7F5F"/>
    <w:rsid w:val="001B2FFE"/>
    <w:rsid w:val="001B6850"/>
    <w:rsid w:val="001D5922"/>
    <w:rsid w:val="001E07AB"/>
    <w:rsid w:val="001E6476"/>
    <w:rsid w:val="00203B7D"/>
    <w:rsid w:val="00205AD2"/>
    <w:rsid w:val="00220FD6"/>
    <w:rsid w:val="0022147E"/>
    <w:rsid w:val="00225FBA"/>
    <w:rsid w:val="002373EE"/>
    <w:rsid w:val="00242795"/>
    <w:rsid w:val="002428F2"/>
    <w:rsid w:val="00243F6E"/>
    <w:rsid w:val="002506D5"/>
    <w:rsid w:val="00253DB3"/>
    <w:rsid w:val="00253F45"/>
    <w:rsid w:val="00257244"/>
    <w:rsid w:val="0026303C"/>
    <w:rsid w:val="0026726E"/>
    <w:rsid w:val="00270896"/>
    <w:rsid w:val="002865F4"/>
    <w:rsid w:val="00287411"/>
    <w:rsid w:val="00295B25"/>
    <w:rsid w:val="002A1410"/>
    <w:rsid w:val="002A4C08"/>
    <w:rsid w:val="002B3F4F"/>
    <w:rsid w:val="002D51C8"/>
    <w:rsid w:val="002E5CD1"/>
    <w:rsid w:val="002E5FEB"/>
    <w:rsid w:val="002F32F6"/>
    <w:rsid w:val="003005B3"/>
    <w:rsid w:val="00312252"/>
    <w:rsid w:val="00313D88"/>
    <w:rsid w:val="003157E3"/>
    <w:rsid w:val="003210AE"/>
    <w:rsid w:val="00335406"/>
    <w:rsid w:val="00341A67"/>
    <w:rsid w:val="00343578"/>
    <w:rsid w:val="00347B5E"/>
    <w:rsid w:val="00380380"/>
    <w:rsid w:val="00386A2E"/>
    <w:rsid w:val="003A2F2D"/>
    <w:rsid w:val="003A5512"/>
    <w:rsid w:val="003A5AD4"/>
    <w:rsid w:val="003A5C6F"/>
    <w:rsid w:val="003B5EAF"/>
    <w:rsid w:val="003C7B85"/>
    <w:rsid w:val="003D1989"/>
    <w:rsid w:val="003D1B1B"/>
    <w:rsid w:val="003E4E18"/>
    <w:rsid w:val="003F1677"/>
    <w:rsid w:val="003F21ED"/>
    <w:rsid w:val="003F4F62"/>
    <w:rsid w:val="003F611B"/>
    <w:rsid w:val="003F691C"/>
    <w:rsid w:val="00423CEC"/>
    <w:rsid w:val="00431563"/>
    <w:rsid w:val="004402F2"/>
    <w:rsid w:val="00443F37"/>
    <w:rsid w:val="00444AE6"/>
    <w:rsid w:val="00454684"/>
    <w:rsid w:val="00471790"/>
    <w:rsid w:val="00471DD0"/>
    <w:rsid w:val="00475521"/>
    <w:rsid w:val="00492509"/>
    <w:rsid w:val="004D2BEF"/>
    <w:rsid w:val="004E3A23"/>
    <w:rsid w:val="004F26B9"/>
    <w:rsid w:val="004F3671"/>
    <w:rsid w:val="004F4ADD"/>
    <w:rsid w:val="00510565"/>
    <w:rsid w:val="00512FA2"/>
    <w:rsid w:val="00542354"/>
    <w:rsid w:val="00545FF1"/>
    <w:rsid w:val="00555FD1"/>
    <w:rsid w:val="005612C6"/>
    <w:rsid w:val="005645AE"/>
    <w:rsid w:val="005829D3"/>
    <w:rsid w:val="00583032"/>
    <w:rsid w:val="00590158"/>
    <w:rsid w:val="005B1AC8"/>
    <w:rsid w:val="005B672F"/>
    <w:rsid w:val="005C4837"/>
    <w:rsid w:val="005E7824"/>
    <w:rsid w:val="005F7257"/>
    <w:rsid w:val="006071D9"/>
    <w:rsid w:val="00612772"/>
    <w:rsid w:val="00616D6E"/>
    <w:rsid w:val="006262BF"/>
    <w:rsid w:val="0062666C"/>
    <w:rsid w:val="0063259F"/>
    <w:rsid w:val="006407BE"/>
    <w:rsid w:val="00655955"/>
    <w:rsid w:val="006600E5"/>
    <w:rsid w:val="0066418F"/>
    <w:rsid w:val="00671E55"/>
    <w:rsid w:val="006760BD"/>
    <w:rsid w:val="00676342"/>
    <w:rsid w:val="00677CA5"/>
    <w:rsid w:val="006841E6"/>
    <w:rsid w:val="00687150"/>
    <w:rsid w:val="006953EF"/>
    <w:rsid w:val="0069793F"/>
    <w:rsid w:val="006B08C4"/>
    <w:rsid w:val="006B1B24"/>
    <w:rsid w:val="006B7BCF"/>
    <w:rsid w:val="006C1268"/>
    <w:rsid w:val="006C206F"/>
    <w:rsid w:val="006C239A"/>
    <w:rsid w:val="006D0E48"/>
    <w:rsid w:val="006D6527"/>
    <w:rsid w:val="006E295A"/>
    <w:rsid w:val="006E2E69"/>
    <w:rsid w:val="006E6983"/>
    <w:rsid w:val="006E7404"/>
    <w:rsid w:val="006F6889"/>
    <w:rsid w:val="00700835"/>
    <w:rsid w:val="00705AAB"/>
    <w:rsid w:val="00721B38"/>
    <w:rsid w:val="007222B0"/>
    <w:rsid w:val="00722D20"/>
    <w:rsid w:val="00724321"/>
    <w:rsid w:val="0073229D"/>
    <w:rsid w:val="0073361B"/>
    <w:rsid w:val="007417ED"/>
    <w:rsid w:val="00752AFA"/>
    <w:rsid w:val="0076221C"/>
    <w:rsid w:val="0077409A"/>
    <w:rsid w:val="0077780B"/>
    <w:rsid w:val="00782668"/>
    <w:rsid w:val="00794762"/>
    <w:rsid w:val="00795A55"/>
    <w:rsid w:val="007A1FCD"/>
    <w:rsid w:val="007B0F51"/>
    <w:rsid w:val="007B6E92"/>
    <w:rsid w:val="007C27D5"/>
    <w:rsid w:val="007C5279"/>
    <w:rsid w:val="007C5352"/>
    <w:rsid w:val="007D6576"/>
    <w:rsid w:val="007E4B50"/>
    <w:rsid w:val="007E52DF"/>
    <w:rsid w:val="007F329A"/>
    <w:rsid w:val="007F7BE3"/>
    <w:rsid w:val="008128B4"/>
    <w:rsid w:val="0081343F"/>
    <w:rsid w:val="00830588"/>
    <w:rsid w:val="00832003"/>
    <w:rsid w:val="008413BE"/>
    <w:rsid w:val="0084386D"/>
    <w:rsid w:val="008450AF"/>
    <w:rsid w:val="00851C1F"/>
    <w:rsid w:val="00851DCD"/>
    <w:rsid w:val="008547C1"/>
    <w:rsid w:val="008558F7"/>
    <w:rsid w:val="008643D0"/>
    <w:rsid w:val="00872256"/>
    <w:rsid w:val="00873FFD"/>
    <w:rsid w:val="008808E2"/>
    <w:rsid w:val="0088321E"/>
    <w:rsid w:val="00887623"/>
    <w:rsid w:val="0089186D"/>
    <w:rsid w:val="00891C02"/>
    <w:rsid w:val="00897EDF"/>
    <w:rsid w:val="008A362A"/>
    <w:rsid w:val="008B2343"/>
    <w:rsid w:val="008B30A8"/>
    <w:rsid w:val="008B582D"/>
    <w:rsid w:val="008B5D8B"/>
    <w:rsid w:val="008B64E1"/>
    <w:rsid w:val="008C033A"/>
    <w:rsid w:val="008E0AAD"/>
    <w:rsid w:val="0091585C"/>
    <w:rsid w:val="00921F85"/>
    <w:rsid w:val="00924135"/>
    <w:rsid w:val="00930FE0"/>
    <w:rsid w:val="00947E50"/>
    <w:rsid w:val="009545B7"/>
    <w:rsid w:val="00955D87"/>
    <w:rsid w:val="00956990"/>
    <w:rsid w:val="0095732C"/>
    <w:rsid w:val="009608DA"/>
    <w:rsid w:val="0096749A"/>
    <w:rsid w:val="009741DC"/>
    <w:rsid w:val="00984723"/>
    <w:rsid w:val="0098674E"/>
    <w:rsid w:val="00994D18"/>
    <w:rsid w:val="009A074A"/>
    <w:rsid w:val="009A342B"/>
    <w:rsid w:val="009B0059"/>
    <w:rsid w:val="009B1ABD"/>
    <w:rsid w:val="009B6F0B"/>
    <w:rsid w:val="009C167A"/>
    <w:rsid w:val="009C3F74"/>
    <w:rsid w:val="009E54E8"/>
    <w:rsid w:val="009F2973"/>
    <w:rsid w:val="009F71D4"/>
    <w:rsid w:val="00A115CB"/>
    <w:rsid w:val="00A200C5"/>
    <w:rsid w:val="00A205E8"/>
    <w:rsid w:val="00A244E2"/>
    <w:rsid w:val="00A24A4C"/>
    <w:rsid w:val="00A30A78"/>
    <w:rsid w:val="00A40BE2"/>
    <w:rsid w:val="00A53AC7"/>
    <w:rsid w:val="00A65DC6"/>
    <w:rsid w:val="00A666DD"/>
    <w:rsid w:val="00A6727D"/>
    <w:rsid w:val="00A822D4"/>
    <w:rsid w:val="00A84B63"/>
    <w:rsid w:val="00A86CD3"/>
    <w:rsid w:val="00A94D51"/>
    <w:rsid w:val="00A97F63"/>
    <w:rsid w:val="00AA1F30"/>
    <w:rsid w:val="00AB1C6E"/>
    <w:rsid w:val="00AD0B5F"/>
    <w:rsid w:val="00AD0D56"/>
    <w:rsid w:val="00AD1F84"/>
    <w:rsid w:val="00AD370C"/>
    <w:rsid w:val="00AE4618"/>
    <w:rsid w:val="00AE5CD7"/>
    <w:rsid w:val="00AF12EB"/>
    <w:rsid w:val="00AF55C3"/>
    <w:rsid w:val="00B23433"/>
    <w:rsid w:val="00B23D9A"/>
    <w:rsid w:val="00B24CC5"/>
    <w:rsid w:val="00B5205E"/>
    <w:rsid w:val="00B951EF"/>
    <w:rsid w:val="00BA6325"/>
    <w:rsid w:val="00BC399B"/>
    <w:rsid w:val="00BD61B4"/>
    <w:rsid w:val="00BF2925"/>
    <w:rsid w:val="00BF5AFF"/>
    <w:rsid w:val="00BF6030"/>
    <w:rsid w:val="00C05049"/>
    <w:rsid w:val="00C20CF7"/>
    <w:rsid w:val="00C23375"/>
    <w:rsid w:val="00C243C7"/>
    <w:rsid w:val="00C3196A"/>
    <w:rsid w:val="00C40D00"/>
    <w:rsid w:val="00C40D12"/>
    <w:rsid w:val="00C44C96"/>
    <w:rsid w:val="00C50AB0"/>
    <w:rsid w:val="00C601E6"/>
    <w:rsid w:val="00C60F63"/>
    <w:rsid w:val="00C6296E"/>
    <w:rsid w:val="00C6301D"/>
    <w:rsid w:val="00C63110"/>
    <w:rsid w:val="00C70090"/>
    <w:rsid w:val="00C72758"/>
    <w:rsid w:val="00C7691F"/>
    <w:rsid w:val="00C7717D"/>
    <w:rsid w:val="00C83F9B"/>
    <w:rsid w:val="00C96C9D"/>
    <w:rsid w:val="00CA3953"/>
    <w:rsid w:val="00CB1972"/>
    <w:rsid w:val="00CB2D34"/>
    <w:rsid w:val="00CD589E"/>
    <w:rsid w:val="00CF10C8"/>
    <w:rsid w:val="00D02CA7"/>
    <w:rsid w:val="00D16387"/>
    <w:rsid w:val="00D16A4F"/>
    <w:rsid w:val="00D17C5C"/>
    <w:rsid w:val="00D36FE0"/>
    <w:rsid w:val="00D611AE"/>
    <w:rsid w:val="00D61C51"/>
    <w:rsid w:val="00D67A0B"/>
    <w:rsid w:val="00D75609"/>
    <w:rsid w:val="00D773CC"/>
    <w:rsid w:val="00DD3E34"/>
    <w:rsid w:val="00DE01BD"/>
    <w:rsid w:val="00DE0644"/>
    <w:rsid w:val="00DE6851"/>
    <w:rsid w:val="00DE6F20"/>
    <w:rsid w:val="00DE73A4"/>
    <w:rsid w:val="00E014FD"/>
    <w:rsid w:val="00E063FD"/>
    <w:rsid w:val="00E2097E"/>
    <w:rsid w:val="00E237D4"/>
    <w:rsid w:val="00E24023"/>
    <w:rsid w:val="00E368A5"/>
    <w:rsid w:val="00E475F9"/>
    <w:rsid w:val="00E523C8"/>
    <w:rsid w:val="00E67A41"/>
    <w:rsid w:val="00E716AB"/>
    <w:rsid w:val="00E73D39"/>
    <w:rsid w:val="00E83395"/>
    <w:rsid w:val="00EA0595"/>
    <w:rsid w:val="00EA3914"/>
    <w:rsid w:val="00EB3555"/>
    <w:rsid w:val="00EB49F8"/>
    <w:rsid w:val="00EB6A76"/>
    <w:rsid w:val="00EC37F8"/>
    <w:rsid w:val="00EC7460"/>
    <w:rsid w:val="00ED15F7"/>
    <w:rsid w:val="00EF2793"/>
    <w:rsid w:val="00F00FF6"/>
    <w:rsid w:val="00F10FAA"/>
    <w:rsid w:val="00F15BFA"/>
    <w:rsid w:val="00F4276F"/>
    <w:rsid w:val="00F4481C"/>
    <w:rsid w:val="00F45543"/>
    <w:rsid w:val="00F4701E"/>
    <w:rsid w:val="00F51523"/>
    <w:rsid w:val="00F92C21"/>
    <w:rsid w:val="00F97905"/>
    <w:rsid w:val="00FA5971"/>
    <w:rsid w:val="00FB4788"/>
    <w:rsid w:val="00FC4DBB"/>
    <w:rsid w:val="00FD132F"/>
    <w:rsid w:val="00FE1CA7"/>
    <w:rsid w:val="00FF0E0E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40EA0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2413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949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Vlad Pereteanu</cp:lastModifiedBy>
  <cp:revision>37</cp:revision>
  <dcterms:created xsi:type="dcterms:W3CDTF">2024-10-07T06:42:00Z</dcterms:created>
  <dcterms:modified xsi:type="dcterms:W3CDTF">2026-01-30T10:00:00Z</dcterms:modified>
</cp:coreProperties>
</file>